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4F6" w:rsidRPr="005254F6" w:rsidRDefault="005254F6" w:rsidP="005254F6">
      <w:pPr>
        <w:widowControl/>
        <w:autoSpaceDN/>
        <w:rPr>
          <w:rFonts w:eastAsia="Times New Roman" w:cs="Times New Roman"/>
          <w:color w:val="000000"/>
          <w:kern w:val="0"/>
          <w:sz w:val="15"/>
          <w:szCs w:val="15"/>
        </w:rPr>
      </w:pPr>
      <w:proofErr w:type="spellStart"/>
      <w:r w:rsidRPr="005254F6">
        <w:rPr>
          <w:rFonts w:ascii="Trebuchet MS" w:eastAsia="Times New Roman" w:hAnsi="Trebuchet MS" w:cs="Times New Roman"/>
          <w:i/>
          <w:iCs/>
          <w:color w:val="990000"/>
          <w:kern w:val="0"/>
          <w:sz w:val="16"/>
          <w:szCs w:val="16"/>
          <w:bdr w:val="none" w:sz="0" w:space="0" w:color="auto" w:frame="1"/>
        </w:rPr>
        <w:t>Miercuri</w:t>
      </w:r>
      <w:proofErr w:type="spellEnd"/>
      <w:r w:rsidRPr="005254F6">
        <w:rPr>
          <w:rFonts w:ascii="Trebuchet MS" w:eastAsia="Times New Roman" w:hAnsi="Trebuchet MS" w:cs="Times New Roman"/>
          <w:i/>
          <w:iCs/>
          <w:color w:val="990000"/>
          <w:kern w:val="0"/>
          <w:sz w:val="16"/>
          <w:szCs w:val="16"/>
          <w:bdr w:val="none" w:sz="0" w:space="0" w:color="auto" w:frame="1"/>
        </w:rPr>
        <w:t xml:space="preserve">, 18 </w:t>
      </w:r>
      <w:proofErr w:type="spellStart"/>
      <w:r w:rsidRPr="005254F6">
        <w:rPr>
          <w:rFonts w:ascii="Trebuchet MS" w:eastAsia="Times New Roman" w:hAnsi="Trebuchet MS" w:cs="Times New Roman"/>
          <w:i/>
          <w:iCs/>
          <w:color w:val="990000"/>
          <w:kern w:val="0"/>
          <w:sz w:val="16"/>
          <w:szCs w:val="16"/>
          <w:bdr w:val="none" w:sz="0" w:space="0" w:color="auto" w:frame="1"/>
        </w:rPr>
        <w:t>Ianuarie</w:t>
      </w:r>
      <w:proofErr w:type="spellEnd"/>
    </w:p>
    <w:p w:rsidR="005254F6" w:rsidRPr="005254F6" w:rsidRDefault="005254F6" w:rsidP="005254F6">
      <w:pPr>
        <w:widowControl/>
        <w:autoSpaceDN/>
        <w:spacing w:line="353" w:lineRule="atLeast"/>
        <w:outlineLvl w:val="1"/>
        <w:rPr>
          <w:rFonts w:ascii="Trebuchet MS" w:eastAsia="Times New Roman" w:hAnsi="Trebuchet MS" w:cs="Times New Roman"/>
          <w:b/>
          <w:bCs/>
          <w:color w:val="000000"/>
          <w:kern w:val="0"/>
          <w:sz w:val="31"/>
          <w:szCs w:val="31"/>
        </w:rPr>
      </w:pPr>
      <w:proofErr w:type="spellStart"/>
      <w:r w:rsidRPr="005254F6">
        <w:rPr>
          <w:rFonts w:ascii="Trebuchet MS" w:eastAsia="Times New Roman" w:hAnsi="Trebuchet MS" w:cs="Times New Roman"/>
          <w:b/>
          <w:bCs/>
          <w:color w:val="000000"/>
          <w:kern w:val="0"/>
          <w:sz w:val="31"/>
          <w:szCs w:val="31"/>
        </w:rPr>
        <w:t>Comunicat</w:t>
      </w:r>
      <w:proofErr w:type="spellEnd"/>
      <w:r w:rsidRPr="005254F6">
        <w:rPr>
          <w:rFonts w:ascii="Trebuchet MS" w:eastAsia="Times New Roman" w:hAnsi="Trebuchet MS" w:cs="Times New Roman"/>
          <w:b/>
          <w:bCs/>
          <w:color w:val="000000"/>
          <w:kern w:val="0"/>
          <w:sz w:val="31"/>
          <w:szCs w:val="31"/>
        </w:rPr>
        <w:t xml:space="preserve"> de </w:t>
      </w:r>
      <w:proofErr w:type="spellStart"/>
      <w:r w:rsidRPr="005254F6">
        <w:rPr>
          <w:rFonts w:ascii="Trebuchet MS" w:eastAsia="Times New Roman" w:hAnsi="Trebuchet MS" w:cs="Times New Roman"/>
          <w:b/>
          <w:bCs/>
          <w:color w:val="000000"/>
          <w:kern w:val="0"/>
          <w:sz w:val="31"/>
          <w:szCs w:val="31"/>
        </w:rPr>
        <w:t>presă</w:t>
      </w:r>
      <w:proofErr w:type="spellEnd"/>
      <w:r w:rsidRPr="005254F6">
        <w:rPr>
          <w:rFonts w:ascii="Trebuchet MS" w:eastAsia="Times New Roman" w:hAnsi="Trebuchet MS" w:cs="Times New Roman"/>
          <w:b/>
          <w:bCs/>
          <w:color w:val="000000"/>
          <w:kern w:val="0"/>
          <w:sz w:val="31"/>
          <w:szCs w:val="31"/>
        </w:rPr>
        <w:t xml:space="preserve"> - </w:t>
      </w:r>
      <w:proofErr w:type="spellStart"/>
      <w:r w:rsidRPr="005254F6">
        <w:rPr>
          <w:rFonts w:ascii="Trebuchet MS" w:eastAsia="Times New Roman" w:hAnsi="Trebuchet MS" w:cs="Times New Roman"/>
          <w:b/>
          <w:bCs/>
          <w:color w:val="000000"/>
          <w:kern w:val="0"/>
          <w:sz w:val="31"/>
          <w:szCs w:val="31"/>
        </w:rPr>
        <w:t>ședință</w:t>
      </w:r>
      <w:proofErr w:type="spellEnd"/>
      <w:r w:rsidRPr="005254F6">
        <w:rPr>
          <w:rFonts w:ascii="Trebuchet MS" w:eastAsia="Times New Roman" w:hAnsi="Trebuchet MS" w:cs="Times New Roman"/>
          <w:b/>
          <w:bCs/>
          <w:color w:val="000000"/>
          <w:kern w:val="0"/>
          <w:sz w:val="31"/>
          <w:szCs w:val="31"/>
        </w:rPr>
        <w:t xml:space="preserve"> de </w:t>
      </w:r>
      <w:proofErr w:type="spellStart"/>
      <w:r w:rsidRPr="005254F6">
        <w:rPr>
          <w:rFonts w:ascii="Trebuchet MS" w:eastAsia="Times New Roman" w:hAnsi="Trebuchet MS" w:cs="Times New Roman"/>
          <w:b/>
          <w:bCs/>
          <w:color w:val="000000"/>
          <w:kern w:val="0"/>
          <w:sz w:val="31"/>
          <w:szCs w:val="31"/>
        </w:rPr>
        <w:t>guvern</w:t>
      </w:r>
      <w:proofErr w:type="spellEnd"/>
      <w:r w:rsidRPr="005254F6">
        <w:rPr>
          <w:rFonts w:ascii="Trebuchet MS" w:eastAsia="Times New Roman" w:hAnsi="Trebuchet MS" w:cs="Times New Roman"/>
          <w:b/>
          <w:bCs/>
          <w:color w:val="000000"/>
          <w:kern w:val="0"/>
          <w:sz w:val="31"/>
          <w:szCs w:val="31"/>
        </w:rPr>
        <w:t xml:space="preserve"> - </w:t>
      </w:r>
      <w:proofErr w:type="spellStart"/>
      <w:r w:rsidRPr="005254F6">
        <w:rPr>
          <w:rFonts w:ascii="Trebuchet MS" w:eastAsia="Times New Roman" w:hAnsi="Trebuchet MS" w:cs="Times New Roman"/>
          <w:b/>
          <w:bCs/>
          <w:color w:val="000000"/>
          <w:kern w:val="0"/>
          <w:sz w:val="31"/>
          <w:szCs w:val="31"/>
        </w:rPr>
        <w:t>Creștere</w:t>
      </w:r>
      <w:proofErr w:type="spellEnd"/>
      <w:r w:rsidRPr="005254F6">
        <w:rPr>
          <w:rFonts w:ascii="Trebuchet MS" w:eastAsia="Times New Roman" w:hAnsi="Trebuchet MS" w:cs="Times New Roman"/>
          <w:b/>
          <w:bCs/>
          <w:color w:val="000000"/>
          <w:kern w:val="0"/>
          <w:sz w:val="31"/>
          <w:szCs w:val="31"/>
        </w:rPr>
        <w:t xml:space="preserve"> a </w:t>
      </w:r>
      <w:proofErr w:type="spellStart"/>
      <w:r w:rsidRPr="005254F6">
        <w:rPr>
          <w:rFonts w:ascii="Trebuchet MS" w:eastAsia="Times New Roman" w:hAnsi="Trebuchet MS" w:cs="Times New Roman"/>
          <w:b/>
          <w:bCs/>
          <w:color w:val="000000"/>
          <w:kern w:val="0"/>
          <w:sz w:val="31"/>
          <w:szCs w:val="31"/>
        </w:rPr>
        <w:t>finanţării</w:t>
      </w:r>
      <w:proofErr w:type="spellEnd"/>
      <w:r w:rsidRPr="005254F6">
        <w:rPr>
          <w:rFonts w:ascii="Trebuchet MS" w:eastAsia="Times New Roman" w:hAnsi="Trebuchet MS" w:cs="Times New Roman"/>
          <w:b/>
          <w:bCs/>
          <w:color w:val="000000"/>
          <w:kern w:val="0"/>
          <w:sz w:val="31"/>
          <w:szCs w:val="31"/>
        </w:rPr>
        <w:t xml:space="preserve"> de </w:t>
      </w:r>
      <w:proofErr w:type="spellStart"/>
      <w:r w:rsidRPr="005254F6">
        <w:rPr>
          <w:rFonts w:ascii="Trebuchet MS" w:eastAsia="Times New Roman" w:hAnsi="Trebuchet MS" w:cs="Times New Roman"/>
          <w:b/>
          <w:bCs/>
          <w:color w:val="000000"/>
          <w:kern w:val="0"/>
          <w:sz w:val="31"/>
          <w:szCs w:val="31"/>
        </w:rPr>
        <w:t>bază</w:t>
      </w:r>
      <w:proofErr w:type="spellEnd"/>
      <w:r w:rsidRPr="005254F6">
        <w:rPr>
          <w:rFonts w:ascii="Trebuchet MS" w:eastAsia="Times New Roman" w:hAnsi="Trebuchet MS" w:cs="Times New Roman"/>
          <w:b/>
          <w:bCs/>
          <w:color w:val="000000"/>
          <w:kern w:val="0"/>
          <w:sz w:val="31"/>
          <w:szCs w:val="31"/>
        </w:rPr>
        <w:t xml:space="preserve"> pentru </w:t>
      </w:r>
      <w:proofErr w:type="spellStart"/>
      <w:r w:rsidRPr="005254F6">
        <w:rPr>
          <w:rFonts w:ascii="Trebuchet MS" w:eastAsia="Times New Roman" w:hAnsi="Trebuchet MS" w:cs="Times New Roman"/>
          <w:b/>
          <w:bCs/>
          <w:color w:val="000000"/>
          <w:kern w:val="0"/>
          <w:sz w:val="31"/>
          <w:szCs w:val="31"/>
        </w:rPr>
        <w:t>învăţământul</w:t>
      </w:r>
      <w:proofErr w:type="spellEnd"/>
      <w:r w:rsidRPr="005254F6">
        <w:rPr>
          <w:rFonts w:ascii="Trebuchet MS" w:eastAsia="Times New Roman" w:hAnsi="Trebuchet MS" w:cs="Times New Roman"/>
          <w:b/>
          <w:bCs/>
          <w:color w:val="000000"/>
          <w:kern w:val="0"/>
          <w:sz w:val="31"/>
          <w:szCs w:val="31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b/>
          <w:bCs/>
          <w:color w:val="000000"/>
          <w:kern w:val="0"/>
          <w:sz w:val="31"/>
          <w:szCs w:val="31"/>
        </w:rPr>
        <w:t>preuniversitar</w:t>
      </w:r>
      <w:proofErr w:type="spellEnd"/>
    </w:p>
    <w:p w:rsidR="005254F6" w:rsidRPr="005254F6" w:rsidRDefault="005254F6" w:rsidP="005254F6">
      <w:pPr>
        <w:widowControl/>
        <w:autoSpaceDN/>
        <w:rPr>
          <w:rFonts w:eastAsia="Times New Roman" w:cs="Times New Roman"/>
          <w:color w:val="000000"/>
          <w:kern w:val="0"/>
          <w:sz w:val="15"/>
          <w:szCs w:val="15"/>
        </w:rPr>
      </w:pPr>
      <w:r>
        <w:rPr>
          <w:rFonts w:ascii="inherit" w:eastAsia="Times New Roman" w:hAnsi="inherit" w:cs="Times New Roman"/>
          <w:noProof/>
          <w:color w:val="2F598C"/>
          <w:kern w:val="0"/>
          <w:sz w:val="18"/>
          <w:szCs w:val="18"/>
          <w:bdr w:val="none" w:sz="0" w:space="0" w:color="auto" w:frame="1"/>
        </w:rPr>
        <w:drawing>
          <wp:inline distT="0" distB="0" distL="0" distR="0">
            <wp:extent cx="267335" cy="267335"/>
            <wp:effectExtent l="19050" t="0" r="0" b="0"/>
            <wp:docPr id="1" name="Picture 1" descr="http://gov.ro/front/view/img/link_print.png">
              <a:hlinkClick xmlns:a="http://schemas.openxmlformats.org/drawingml/2006/main" r:id="rId5" tgtFrame="&quot;_blank&quot;" tooltip="&quot;Prin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v.ro/front/view/img/link_print.png">
                      <a:hlinkClick r:id="rId5" tgtFrame="&quot;_blank&quot;" tooltip="&quot;Prin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6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Times New Roman"/>
          <w:noProof/>
          <w:color w:val="2F598C"/>
          <w:kern w:val="0"/>
          <w:sz w:val="18"/>
          <w:szCs w:val="18"/>
          <w:bdr w:val="none" w:sz="0" w:space="0" w:color="auto" w:frame="1"/>
        </w:rPr>
        <w:drawing>
          <wp:inline distT="0" distB="0" distL="0" distR="0">
            <wp:extent cx="267335" cy="267335"/>
            <wp:effectExtent l="19050" t="0" r="0" b="0"/>
            <wp:docPr id="2" name="Picture 2" descr="http://gov.ro/front/view/img/link_mail.png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v.ro/front/view/img/link_mail.png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6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4F6" w:rsidRPr="005254F6" w:rsidRDefault="005254F6" w:rsidP="005254F6">
      <w:pPr>
        <w:widowControl/>
        <w:autoSpaceDN/>
        <w:spacing w:after="136" w:line="245" w:lineRule="atLeast"/>
        <w:jc w:val="both"/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</w:pP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Costul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standard per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elev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/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preșcolar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pentru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învăţământul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preuniversitar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de stat, particular şi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confesional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acreditat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, pentru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anul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2017,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crește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de la 3.043 lei/an la 3.740 lei,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potrivit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a două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hotărâri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adoptate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în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ședința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de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astăzi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a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Guvernului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.</w:t>
      </w:r>
    </w:p>
    <w:p w:rsidR="005254F6" w:rsidRPr="005254F6" w:rsidRDefault="005254F6" w:rsidP="005254F6">
      <w:pPr>
        <w:widowControl/>
        <w:autoSpaceDN/>
        <w:spacing w:after="136" w:line="245" w:lineRule="atLeast"/>
        <w:jc w:val="both"/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</w:pP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Unităţile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de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învăţământ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preuniversitar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de stat, particular şi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confesional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acreditat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primesc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finanţare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de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bază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, în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limitele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costului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standard per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elev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/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preşcolar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, de la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bugetul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de stat, din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sumele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defalcare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din TVA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prin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bugetele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locale.</w:t>
      </w:r>
    </w:p>
    <w:p w:rsidR="005254F6" w:rsidRPr="005254F6" w:rsidRDefault="005254F6" w:rsidP="005254F6">
      <w:pPr>
        <w:widowControl/>
        <w:autoSpaceDN/>
        <w:spacing w:after="136" w:line="245" w:lineRule="atLeast"/>
        <w:jc w:val="both"/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</w:pPr>
      <w:proofErr w:type="spellStart"/>
      <w:proofErr w:type="gram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Costul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standard per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elev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/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preşcolar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se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determină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pentru fiecare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nivel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de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învăţământ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,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filieră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,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profil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,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specializare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/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domeniu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, în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funcţie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de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mărimea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şi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tipul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unităţilor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de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învăţământ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,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mediul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urban/rural şi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coeficienţii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de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temperatură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din zone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geografice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.</w:t>
      </w:r>
      <w:proofErr w:type="gramEnd"/>
    </w:p>
    <w:p w:rsidR="005254F6" w:rsidRPr="005254F6" w:rsidRDefault="005254F6" w:rsidP="005254F6">
      <w:pPr>
        <w:widowControl/>
        <w:autoSpaceDN/>
        <w:spacing w:after="136" w:line="245" w:lineRule="atLeast"/>
        <w:jc w:val="both"/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</w:pPr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Pe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baza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costului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standard per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elev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/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preşcolar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se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alocă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:</w:t>
      </w:r>
    </w:p>
    <w:p w:rsidR="005254F6" w:rsidRPr="005254F6" w:rsidRDefault="005254F6" w:rsidP="005254F6">
      <w:pPr>
        <w:widowControl/>
        <w:numPr>
          <w:ilvl w:val="0"/>
          <w:numId w:val="1"/>
        </w:numPr>
        <w:autoSpaceDN/>
        <w:spacing w:line="245" w:lineRule="atLeast"/>
        <w:ind w:left="0"/>
        <w:jc w:val="both"/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</w:pP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Finanţarea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cheltuielilor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cu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salariile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,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sporurile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,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indemnizaţiile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şi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alte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drepturi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salariale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în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bani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,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stabilite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prin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lege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,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precum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şi a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contribuţiilor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aferente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acestora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pentru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unităţile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de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învăţământ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. Nu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sunt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incluse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în această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categorie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cheltuielile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pentru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alocaţii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pentru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transportul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la şi de la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locul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de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muncă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,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precum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şi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cheltuielile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salariale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în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natură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.</w:t>
      </w:r>
    </w:p>
    <w:p w:rsidR="005254F6" w:rsidRPr="005254F6" w:rsidRDefault="005254F6" w:rsidP="005254F6">
      <w:pPr>
        <w:widowControl/>
        <w:numPr>
          <w:ilvl w:val="0"/>
          <w:numId w:val="1"/>
        </w:numPr>
        <w:autoSpaceDN/>
        <w:spacing w:line="245" w:lineRule="atLeast"/>
        <w:ind w:left="0"/>
        <w:jc w:val="both"/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</w:pP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Finanţarea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cheltuielilor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cu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pregătirea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profesională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, a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cheltuielilor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cu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evaluarea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periodică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gram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a</w:t>
      </w:r>
      <w:proofErr w:type="gram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elevilor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,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precum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şi a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celor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pentru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bunuri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şi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servicii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.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Cheltuielile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cu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pregătirea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profesională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includ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şi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cheltuielile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legate de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formarea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continuă şi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evaluarea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personalului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din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unităţile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de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învăţământ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preuniversitar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particular şi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confesional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acreditat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.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Concret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,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costul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standard per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elev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din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învăţământul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gimnazial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din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mediul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urban (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considerat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coeficientul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1) în 2017 </w:t>
      </w:r>
      <w:proofErr w:type="gram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este</w:t>
      </w:r>
      <w:proofErr w:type="gram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stabilit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la 330 lei/an.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Acest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tip de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costuri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este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determinat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prin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aplicarea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unor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coeficienţi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de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diferenţiere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la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valoarea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coeficientului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1, de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bază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.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Coeficienţii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de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diferenţiere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sunt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stabiliţi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în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funcţie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de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tipul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unităţii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de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învăţământ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(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grădiniţă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,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şcoala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gimnazială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,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liceu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teoretic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, şcoală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profesională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,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colegiu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),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numărul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de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elevi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înscrişi</w:t>
      </w:r>
      <w:proofErr w:type="gram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,zone</w:t>
      </w:r>
      <w:proofErr w:type="spellEnd"/>
      <w:proofErr w:type="gram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de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temperatură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(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sunt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şase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zone de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temperatură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identificate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),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precum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şi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mediul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urban/rural. De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exemplu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, pentru un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liceu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din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zona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1 (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judeţele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Călăraşi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,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Constanţa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,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Dolj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, Giurgiu,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Olt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,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Tulcea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,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Teleorman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) cu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până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la 300 de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elevi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înscrişi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,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coeficientul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aplicat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va fi 1,1661, în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timp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ce pentru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aceeaşi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categorie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de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unitate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de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învăţământ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situată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în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zona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6 (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judeţele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Bistriţa-Năsăud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,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Covasna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,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Hunedoara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,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Harghita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,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Maramureş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,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Suceava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)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coeficientul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</w:t>
      </w:r>
      <w:proofErr w:type="spellStart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>aplicat</w:t>
      </w:r>
      <w:proofErr w:type="spellEnd"/>
      <w:r w:rsidRPr="005254F6">
        <w:rPr>
          <w:rFonts w:ascii="Trebuchet MS" w:eastAsia="Times New Roman" w:hAnsi="Trebuchet MS" w:cs="Times New Roman"/>
          <w:color w:val="3C3C3C"/>
          <w:kern w:val="0"/>
          <w:sz w:val="16"/>
          <w:szCs w:val="16"/>
        </w:rPr>
        <w:t xml:space="preserve"> va fi 1,3061.  </w:t>
      </w:r>
    </w:p>
    <w:p w:rsidR="002977BB" w:rsidRDefault="002977BB"/>
    <w:sectPr w:rsidR="002977BB" w:rsidSect="00297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E2447"/>
    <w:multiLevelType w:val="multilevel"/>
    <w:tmpl w:val="E1F8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254F6"/>
    <w:rsid w:val="002977BB"/>
    <w:rsid w:val="005254F6"/>
    <w:rsid w:val="00A07BB0"/>
    <w:rsid w:val="00AD2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07BB0"/>
  </w:style>
  <w:style w:type="paragraph" w:styleId="Heading1">
    <w:name w:val="heading 1"/>
    <w:basedOn w:val="Normal"/>
    <w:next w:val="Normal"/>
    <w:link w:val="Heading1Char"/>
    <w:uiPriority w:val="9"/>
    <w:qFormat/>
    <w:rsid w:val="00A07BB0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7BB0"/>
    <w:pPr>
      <w:keepNext/>
      <w:keepLines/>
      <w:suppressAutoHyphen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BB0"/>
    <w:pPr>
      <w:keepNext/>
      <w:keepLines/>
      <w:suppressAutoHyphen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BB0"/>
    <w:pPr>
      <w:keepNext/>
      <w:keepLines/>
      <w:suppressAutoHyphen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BB0"/>
    <w:pPr>
      <w:keepNext/>
      <w:keepLines/>
      <w:suppressAutoHyphen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BB0"/>
    <w:pPr>
      <w:keepNext/>
      <w:keepLines/>
      <w:suppressAutoHyphen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BB0"/>
    <w:pPr>
      <w:keepNext/>
      <w:keepLines/>
      <w:suppressAutoHyphen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BB0"/>
    <w:pPr>
      <w:keepNext/>
      <w:keepLines/>
      <w:suppressAutoHyphen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BB0"/>
    <w:pPr>
      <w:keepNext/>
      <w:keepLines/>
      <w:suppressAutoHyphen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B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07B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B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B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B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B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B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BB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B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A07BB0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07BB0"/>
    <w:pPr>
      <w:pBdr>
        <w:bottom w:val="single" w:sz="8" w:space="4" w:color="4F81BD" w:themeColor="accent1"/>
      </w:pBdr>
      <w:suppressAutoHyphens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07B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BB0"/>
    <w:pPr>
      <w:numPr>
        <w:ilvl w:val="1"/>
      </w:numPr>
      <w:suppressAutoHyphens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07BB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trong">
    <w:name w:val="Strong"/>
    <w:basedOn w:val="DefaultParagraphFont"/>
    <w:uiPriority w:val="22"/>
    <w:qFormat/>
    <w:rsid w:val="00A07BB0"/>
    <w:rPr>
      <w:b/>
      <w:bCs/>
    </w:rPr>
  </w:style>
  <w:style w:type="character" w:styleId="Emphasis">
    <w:name w:val="Emphasis"/>
    <w:basedOn w:val="DefaultParagraphFont"/>
    <w:uiPriority w:val="20"/>
    <w:qFormat/>
    <w:rsid w:val="00A07BB0"/>
    <w:rPr>
      <w:i/>
      <w:iCs/>
    </w:rPr>
  </w:style>
  <w:style w:type="paragraph" w:styleId="NoSpacing">
    <w:name w:val="No Spacing"/>
    <w:uiPriority w:val="1"/>
    <w:qFormat/>
    <w:rsid w:val="00A07BB0"/>
    <w:pPr>
      <w:suppressAutoHyphens/>
    </w:pPr>
  </w:style>
  <w:style w:type="paragraph" w:styleId="ListParagraph">
    <w:name w:val="List Paragraph"/>
    <w:basedOn w:val="Normal"/>
    <w:uiPriority w:val="34"/>
    <w:qFormat/>
    <w:rsid w:val="00A07BB0"/>
    <w:pPr>
      <w:suppressAutoHyphens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07BB0"/>
    <w:pPr>
      <w:suppressAutoHyphens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07BB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BB0"/>
    <w:pPr>
      <w:pBdr>
        <w:bottom w:val="single" w:sz="4" w:space="4" w:color="4F81BD" w:themeColor="accent1"/>
      </w:pBdr>
      <w:suppressAutoHyphens/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BB0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A07BB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07BB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07BB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07BB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07BB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7BB0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5254F6"/>
    <w:pPr>
      <w:widowControl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4F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4F6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9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1106">
          <w:marLeft w:val="0"/>
          <w:marRight w:val="0"/>
          <w:marTop w:val="136"/>
          <w:marBottom w:val="136"/>
          <w:divBdr>
            <w:top w:val="single" w:sz="6" w:space="3" w:color="D7D7D7"/>
            <w:left w:val="none" w:sz="0" w:space="0" w:color="auto"/>
            <w:bottom w:val="single" w:sz="6" w:space="3" w:color="D7D7D7"/>
            <w:right w:val="none" w:sz="0" w:space="0" w:color="auto"/>
          </w:divBdr>
        </w:div>
        <w:div w:id="287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?subject=%C8%9Ai-am%20trimis%20un%20link%20cu%20o%20informa%C8%9Bie%20de%20interes&amp;body=Am%20g%C4%83sit%20o%20informa%C8%9Bie%20pe%20portalul%20web%20al%20Guvernului%20Rom%C3%A2niei%20care%20ar%20putea%20fi%20important%C4%83%20pentru%20tine.%20Acceseaz%C4%83%20pagina%20ap%C4%83s%C3%A2nd%20linkul%20urm%C4%83tor:%20http://gov.ro/ro/media/comunicate/comunicat-de-presa-edinta-de-guvern-cre-tere-a-finantarii-de-baza-pentru-invatamantul-preuniversit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gov.ro/ro/print?modul=comunicate&amp;link=comunicat-de-presa-edinta-de-guvern-cre-tere-a-finantarii-de-baza-pentru-invatamantul-preuniversita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2164</Characters>
  <Application>Microsoft Office Word</Application>
  <DocSecurity>0</DocSecurity>
  <Lines>18</Lines>
  <Paragraphs>5</Paragraphs>
  <ScaleCrop>false</ScaleCrop>
  <Company>Grizli777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mocian</dc:creator>
  <cp:lastModifiedBy>mocian</cp:lastModifiedBy>
  <cp:revision>1</cp:revision>
  <dcterms:created xsi:type="dcterms:W3CDTF">2017-01-19T10:24:00Z</dcterms:created>
  <dcterms:modified xsi:type="dcterms:W3CDTF">2017-01-19T10:26:00Z</dcterms:modified>
</cp:coreProperties>
</file>